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34DE7" w14:textId="77777777" w:rsidR="006F3CB0" w:rsidRDefault="0080537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Табела 5.2 </w:t>
      </w:r>
      <w:r>
        <w:rPr>
          <w:sz w:val="24"/>
          <w:szCs w:val="24"/>
        </w:rPr>
        <w:t xml:space="preserve">Спецификација  предмета </w:t>
      </w:r>
    </w:p>
    <w:tbl>
      <w:tblPr>
        <w:tblStyle w:val="a"/>
        <w:tblW w:w="9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275"/>
        <w:gridCol w:w="1094"/>
        <w:gridCol w:w="1284"/>
        <w:gridCol w:w="2802"/>
        <w:gridCol w:w="693"/>
        <w:gridCol w:w="1012"/>
      </w:tblGrid>
      <w:tr w:rsidR="006F3CB0" w14:paraId="4AF4B753" w14:textId="77777777">
        <w:tc>
          <w:tcPr>
            <w:tcW w:w="9720" w:type="dxa"/>
            <w:gridSpan w:val="7"/>
          </w:tcPr>
          <w:p w14:paraId="69505C60" w14:textId="77777777" w:rsidR="006F3CB0" w:rsidRDefault="008053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програм/студијски програми</w:t>
            </w:r>
            <w:r>
              <w:rPr>
                <w:b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НЕМАЧКИ ЈЕЗИК И КЊИЖЕВНОСТ</w:t>
            </w:r>
          </w:p>
        </w:tc>
      </w:tr>
      <w:tr w:rsidR="006F3CB0" w14:paraId="43A7C83D" w14:textId="77777777">
        <w:tc>
          <w:tcPr>
            <w:tcW w:w="9720" w:type="dxa"/>
            <w:gridSpan w:val="7"/>
          </w:tcPr>
          <w:p w14:paraId="2929CCEF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Врста и ниво студија: Основне академске студије, трећи семестар </w:t>
            </w:r>
          </w:p>
        </w:tc>
      </w:tr>
      <w:tr w:rsidR="006F3CB0" w14:paraId="68D7BA0D" w14:textId="77777777">
        <w:tc>
          <w:tcPr>
            <w:tcW w:w="9720" w:type="dxa"/>
            <w:gridSpan w:val="7"/>
          </w:tcPr>
          <w:p w14:paraId="16B996B7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Назив предмета: Синтакса немачког језика 1</w:t>
            </w:r>
          </w:p>
        </w:tc>
      </w:tr>
      <w:tr w:rsidR="006F3CB0" w14:paraId="5783356C" w14:textId="77777777">
        <w:tc>
          <w:tcPr>
            <w:tcW w:w="9720" w:type="dxa"/>
            <w:gridSpan w:val="7"/>
          </w:tcPr>
          <w:p w14:paraId="3709812E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Наставник: Момчиловић М. Николета</w:t>
            </w:r>
          </w:p>
          <w:p w14:paraId="02AD903D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сарадник</w:t>
            </w:r>
            <w:r>
              <w:rPr>
                <w:b/>
                <w:sz w:val="22"/>
                <w:szCs w:val="22"/>
              </w:rPr>
              <w:t xml:space="preserve">: Стаменковић З. Катарина </w:t>
            </w:r>
          </w:p>
        </w:tc>
      </w:tr>
      <w:tr w:rsidR="006F3CB0" w14:paraId="644B35BD" w14:textId="77777777">
        <w:tc>
          <w:tcPr>
            <w:tcW w:w="9720" w:type="dxa"/>
            <w:gridSpan w:val="7"/>
          </w:tcPr>
          <w:p w14:paraId="5FA55217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 предмета: обавезан</w:t>
            </w:r>
          </w:p>
        </w:tc>
      </w:tr>
      <w:tr w:rsidR="006F3CB0" w14:paraId="67460819" w14:textId="77777777">
        <w:tc>
          <w:tcPr>
            <w:tcW w:w="9720" w:type="dxa"/>
            <w:gridSpan w:val="7"/>
          </w:tcPr>
          <w:p w14:paraId="34597764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Број ЕСПБ: 5</w:t>
            </w:r>
          </w:p>
        </w:tc>
      </w:tr>
      <w:tr w:rsidR="006F3CB0" w14:paraId="2D51B9DE" w14:textId="77777777">
        <w:tc>
          <w:tcPr>
            <w:tcW w:w="9720" w:type="dxa"/>
            <w:gridSpan w:val="7"/>
          </w:tcPr>
          <w:p w14:paraId="04B19FF2" w14:textId="77777777" w:rsidR="006F3CB0" w:rsidRDefault="008053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Услов:  /</w:t>
            </w:r>
          </w:p>
        </w:tc>
      </w:tr>
      <w:tr w:rsidR="006F3CB0" w14:paraId="4BB9CE22" w14:textId="77777777">
        <w:tc>
          <w:tcPr>
            <w:tcW w:w="9720" w:type="dxa"/>
            <w:gridSpan w:val="7"/>
          </w:tcPr>
          <w:p w14:paraId="335440E8" w14:textId="77777777" w:rsidR="006F3CB0" w:rsidRDefault="0080537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Циљ предмета: </w:t>
            </w:r>
            <w:r>
              <w:rPr>
                <w:sz w:val="22"/>
                <w:szCs w:val="22"/>
              </w:rPr>
              <w:t xml:space="preserve"> </w:t>
            </w:r>
          </w:p>
          <w:p w14:paraId="424AD428" w14:textId="77777777" w:rsidR="006F3CB0" w:rsidRDefault="008053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Упознавање студената са традиционалном и депеденцијалном синтаксом немачког језика, овладавање основним теоријским знањима  о морфосинтакси савременог немачког језика (врсте речи као нуклеуси/носиоци фраза) 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као и способљавање за примену истих на тексту и у пракси.                </w:t>
            </w:r>
          </w:p>
        </w:tc>
      </w:tr>
      <w:tr w:rsidR="006F3CB0" w14:paraId="28A23AEF" w14:textId="77777777">
        <w:tc>
          <w:tcPr>
            <w:tcW w:w="9720" w:type="dxa"/>
            <w:gridSpan w:val="7"/>
          </w:tcPr>
          <w:p w14:paraId="3225D2C2" w14:textId="77777777" w:rsidR="006F3CB0" w:rsidRDefault="0080537E">
            <w:pPr>
              <w:jc w:val="both"/>
              <w:rPr>
                <w:sz w:val="22"/>
                <w:szCs w:val="22"/>
              </w:rPr>
            </w:pPr>
            <w:bookmarkStart w:id="0" w:name="_gjdgxs" w:colFirst="0" w:colLast="0"/>
            <w:bookmarkEnd w:id="0"/>
            <w:r>
              <w:rPr>
                <w:b/>
                <w:sz w:val="22"/>
                <w:szCs w:val="22"/>
              </w:rPr>
              <w:t>Исход предмета:</w:t>
            </w:r>
            <w:r>
              <w:rPr>
                <w:sz w:val="22"/>
                <w:szCs w:val="22"/>
              </w:rPr>
              <w:t xml:space="preserve"> </w:t>
            </w:r>
          </w:p>
          <w:p w14:paraId="70131F3C" w14:textId="77777777" w:rsidR="006F3CB0" w:rsidRDefault="008053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Студенти разумеју појмове и структуре морфосинтаксичког система немачког језика, однос надређености и подређености. Умеју да израде графички приказ фразе или просте реченице, идентификују елементе фразе, именују комплементе и суплементе, анализирају структуру просте реченице у погледу валентности глагола и суплемената.</w:t>
            </w:r>
          </w:p>
        </w:tc>
      </w:tr>
      <w:tr w:rsidR="006F3CB0" w14:paraId="22AC9AF5" w14:textId="77777777">
        <w:tc>
          <w:tcPr>
            <w:tcW w:w="9720" w:type="dxa"/>
            <w:gridSpan w:val="7"/>
          </w:tcPr>
          <w:p w14:paraId="72BB994B" w14:textId="77777777" w:rsidR="006F3CB0" w:rsidRDefault="0080537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Садржај предмета:   </w:t>
            </w:r>
          </w:p>
          <w:p w14:paraId="21F4D479" w14:textId="77777777" w:rsidR="006F3CB0" w:rsidRDefault="0080537E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u w:val="single"/>
              </w:rPr>
              <w:t>Предавања</w:t>
            </w:r>
            <w:r>
              <w:rPr>
                <w:sz w:val="22"/>
                <w:szCs w:val="22"/>
              </w:rPr>
              <w:t xml:space="preserve">: Увод у немачку синтаксу. Структура простопроширене реченице у савременом немачком језику. Појам валентности и рекције: реченични чланови, предикат, допуне и додаци;  предикат и комплементи (објекат, прилошке одредбе); прилошке одредбе као суплементи; именичке, заменичке, придевске, прилошке и предлошке фразе; атрибут (сателит неглаголских речи); апозиција. Степен зависности у реченици. Дефиниција реченица и класификација једноставних реченица (изјавне, упитне, заповедне). Елипса. Парентеза. Проширени партиципски атрибути. Структура реченица и ред речи у реченичном оквиру. </w:t>
            </w:r>
          </w:p>
          <w:p w14:paraId="4887F41B" w14:textId="77777777" w:rsidR="006F3CB0" w:rsidRDefault="0080537E">
            <w:pPr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u w:val="single"/>
              </w:rPr>
              <w:t>Вежбе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Увежбавање теоријских знања о морфосинтаксичком систему немачког језика на практичним језичким примерима (препознавање елемената фразе  (</w:t>
            </w:r>
            <w:r>
              <w:rPr>
                <w:i/>
                <w:sz w:val="22"/>
                <w:szCs w:val="22"/>
              </w:rPr>
              <w:t>Satellit, Dependens, Regens</w:t>
            </w:r>
            <w:r>
              <w:rPr>
                <w:sz w:val="22"/>
                <w:szCs w:val="22"/>
              </w:rPr>
              <w:t xml:space="preserve">), описивање предиката и његове структуре, препознавање функције комплемената и суплемената, анализа структуре просте реченице) </w:t>
            </w:r>
          </w:p>
        </w:tc>
      </w:tr>
      <w:tr w:rsidR="006F3CB0" w14:paraId="3547AB13" w14:textId="77777777">
        <w:tc>
          <w:tcPr>
            <w:tcW w:w="9720" w:type="dxa"/>
            <w:gridSpan w:val="7"/>
          </w:tcPr>
          <w:p w14:paraId="52C1791A" w14:textId="77777777" w:rsidR="006F3CB0" w:rsidRDefault="0080537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Литература:</w:t>
            </w:r>
          </w:p>
          <w:p w14:paraId="634FBAF3" w14:textId="46377984" w:rsidR="006F3CB0" w:rsidRDefault="008053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Анете Ђуровић. </w:t>
            </w:r>
            <w:r>
              <w:rPr>
                <w:i/>
                <w:sz w:val="22"/>
                <w:szCs w:val="22"/>
              </w:rPr>
              <w:t>Gundfragen der deutschen Syntax</w:t>
            </w:r>
            <w:r>
              <w:rPr>
                <w:sz w:val="22"/>
                <w:szCs w:val="22"/>
              </w:rPr>
              <w:t xml:space="preserve">. Београд: Филолошки факултет Универзитета у Београду, 2001. </w:t>
            </w:r>
          </w:p>
          <w:p w14:paraId="593DA434" w14:textId="624978BD" w:rsidR="00326865" w:rsidRPr="00326865" w:rsidRDefault="00326865">
            <w:pPr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Допунска</w:t>
            </w:r>
            <w:bookmarkStart w:id="1" w:name="_GoBack"/>
            <w:bookmarkEnd w:id="1"/>
          </w:p>
          <w:p w14:paraId="04C3FAAF" w14:textId="77777777" w:rsidR="006F3CB0" w:rsidRDefault="008053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Engel, Ulrich. </w:t>
            </w:r>
            <w:r>
              <w:rPr>
                <w:i/>
                <w:sz w:val="22"/>
                <w:szCs w:val="22"/>
              </w:rPr>
              <w:t>Deutsche Grammatik</w:t>
            </w:r>
            <w:r>
              <w:rPr>
                <w:sz w:val="22"/>
                <w:szCs w:val="22"/>
              </w:rPr>
              <w:t xml:space="preserve">. Heidelberg, 1988. </w:t>
            </w:r>
          </w:p>
          <w:p w14:paraId="6D74CF75" w14:textId="77777777" w:rsidR="006F3CB0" w:rsidRDefault="0029306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3</w:t>
            </w:r>
            <w:r w:rsidR="0080537E">
              <w:rPr>
                <w:sz w:val="22"/>
                <w:szCs w:val="22"/>
              </w:rPr>
              <w:t xml:space="preserve">. Engel, Ulrich. </w:t>
            </w:r>
            <w:r w:rsidR="0080537E">
              <w:rPr>
                <w:i/>
                <w:sz w:val="22"/>
                <w:szCs w:val="22"/>
              </w:rPr>
              <w:t>Syntax der deutschen Gegenwartssprache</w:t>
            </w:r>
            <w:r w:rsidR="0080537E">
              <w:rPr>
                <w:sz w:val="22"/>
                <w:szCs w:val="22"/>
              </w:rPr>
              <w:t xml:space="preserve">. 2009. </w:t>
            </w:r>
          </w:p>
        </w:tc>
      </w:tr>
      <w:tr w:rsidR="006F3CB0" w14:paraId="2F812B03" w14:textId="77777777">
        <w:tc>
          <w:tcPr>
            <w:tcW w:w="8015" w:type="dxa"/>
            <w:gridSpan w:val="5"/>
          </w:tcPr>
          <w:p w14:paraId="197ABD37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Број часова  активне наставе   </w:t>
            </w:r>
          </w:p>
        </w:tc>
        <w:tc>
          <w:tcPr>
            <w:tcW w:w="1705" w:type="dxa"/>
            <w:gridSpan w:val="2"/>
            <w:vMerge w:val="restart"/>
          </w:tcPr>
          <w:p w14:paraId="14B99B22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Остали часови</w:t>
            </w:r>
          </w:p>
        </w:tc>
      </w:tr>
      <w:tr w:rsidR="006F3CB0" w14:paraId="6EE3E82E" w14:textId="77777777">
        <w:tc>
          <w:tcPr>
            <w:tcW w:w="1560" w:type="dxa"/>
          </w:tcPr>
          <w:p w14:paraId="095BECC2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Предавања: 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269679B6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Вежбе:   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378" w:type="dxa"/>
            <w:gridSpan w:val="2"/>
          </w:tcPr>
          <w:p w14:paraId="75C80D89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 облици наставе:</w:t>
            </w:r>
          </w:p>
        </w:tc>
        <w:tc>
          <w:tcPr>
            <w:tcW w:w="2802" w:type="dxa"/>
          </w:tcPr>
          <w:p w14:paraId="16BC397B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истраживачки рад:</w:t>
            </w:r>
          </w:p>
        </w:tc>
        <w:tc>
          <w:tcPr>
            <w:tcW w:w="1705" w:type="dxa"/>
            <w:gridSpan w:val="2"/>
            <w:vMerge/>
          </w:tcPr>
          <w:p w14:paraId="4DF5EF23" w14:textId="77777777" w:rsidR="006F3CB0" w:rsidRDefault="006F3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6F3CB0" w14:paraId="4E41B85C" w14:textId="77777777">
        <w:tc>
          <w:tcPr>
            <w:tcW w:w="9720" w:type="dxa"/>
            <w:gridSpan w:val="7"/>
          </w:tcPr>
          <w:p w14:paraId="384F1E14" w14:textId="77777777" w:rsidR="006F3CB0" w:rsidRDefault="0080537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Методе извођења наставе: </w:t>
            </w:r>
            <w:r>
              <w:rPr>
                <w:sz w:val="22"/>
                <w:szCs w:val="22"/>
              </w:rPr>
              <w:t>Излагање, дискусија, вежбе, практичан рад на тексту (на примерима се обрађују садржаји кроз дискусију о феноменима морфосинтаксе немачког језика).</w:t>
            </w:r>
            <w:r>
              <w:rPr>
                <w:b/>
                <w:sz w:val="22"/>
                <w:szCs w:val="22"/>
              </w:rPr>
              <w:t xml:space="preserve">  </w:t>
            </w:r>
          </w:p>
        </w:tc>
      </w:tr>
      <w:tr w:rsidR="006F3CB0" w14:paraId="28EE4DEA" w14:textId="77777777">
        <w:tc>
          <w:tcPr>
            <w:tcW w:w="9720" w:type="dxa"/>
            <w:gridSpan w:val="7"/>
          </w:tcPr>
          <w:p w14:paraId="4A4A8C1F" w14:textId="77777777" w:rsidR="006F3CB0" w:rsidRDefault="0080537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Оцена  знања (максимални број поена 100)</w:t>
            </w:r>
          </w:p>
        </w:tc>
      </w:tr>
      <w:tr w:rsidR="006F3CB0" w14:paraId="0C4B648B" w14:textId="77777777">
        <w:tc>
          <w:tcPr>
            <w:tcW w:w="3929" w:type="dxa"/>
            <w:gridSpan w:val="3"/>
          </w:tcPr>
          <w:p w14:paraId="592FDCE1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Предиспитне обавезе</w:t>
            </w:r>
          </w:p>
        </w:tc>
        <w:tc>
          <w:tcPr>
            <w:tcW w:w="1284" w:type="dxa"/>
          </w:tcPr>
          <w:p w14:paraId="1C397989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поена</w:t>
            </w:r>
          </w:p>
        </w:tc>
        <w:tc>
          <w:tcPr>
            <w:tcW w:w="3495" w:type="dxa"/>
            <w:gridSpan w:val="2"/>
          </w:tcPr>
          <w:p w14:paraId="63F82F6B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Завршни испит </w:t>
            </w:r>
          </w:p>
        </w:tc>
        <w:tc>
          <w:tcPr>
            <w:tcW w:w="1012" w:type="dxa"/>
          </w:tcPr>
          <w:p w14:paraId="434013FB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поена</w:t>
            </w:r>
          </w:p>
        </w:tc>
      </w:tr>
      <w:tr w:rsidR="006F3CB0" w14:paraId="2103256C" w14:textId="77777777">
        <w:tc>
          <w:tcPr>
            <w:tcW w:w="3929" w:type="dxa"/>
            <w:gridSpan w:val="3"/>
          </w:tcPr>
          <w:p w14:paraId="435CF29A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активност у току предавања</w:t>
            </w:r>
          </w:p>
        </w:tc>
        <w:tc>
          <w:tcPr>
            <w:tcW w:w="1284" w:type="dxa"/>
          </w:tcPr>
          <w:p w14:paraId="5FD3CA12" w14:textId="77777777" w:rsidR="006F3CB0" w:rsidRDefault="006F3CB0">
            <w:pPr>
              <w:rPr>
                <w:sz w:val="22"/>
                <w:szCs w:val="22"/>
              </w:rPr>
            </w:pPr>
          </w:p>
        </w:tc>
        <w:tc>
          <w:tcPr>
            <w:tcW w:w="3495" w:type="dxa"/>
            <w:gridSpan w:val="2"/>
          </w:tcPr>
          <w:p w14:paraId="5AFC035B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Писмени испит</w:t>
            </w:r>
          </w:p>
        </w:tc>
        <w:tc>
          <w:tcPr>
            <w:tcW w:w="1012" w:type="dxa"/>
          </w:tcPr>
          <w:p w14:paraId="1119ACB4" w14:textId="77777777" w:rsidR="006F3CB0" w:rsidRPr="0029306E" w:rsidRDefault="0029306E">
            <w:pPr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60</w:t>
            </w:r>
          </w:p>
        </w:tc>
      </w:tr>
      <w:tr w:rsidR="006F3CB0" w14:paraId="61CFCCE8" w14:textId="77777777">
        <w:tc>
          <w:tcPr>
            <w:tcW w:w="3929" w:type="dxa"/>
            <w:gridSpan w:val="3"/>
          </w:tcPr>
          <w:p w14:paraId="10BF6446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колоквијум </w:t>
            </w:r>
          </w:p>
        </w:tc>
        <w:tc>
          <w:tcPr>
            <w:tcW w:w="1284" w:type="dxa"/>
          </w:tcPr>
          <w:p w14:paraId="19768236" w14:textId="77777777" w:rsidR="006F3CB0" w:rsidRPr="0029306E" w:rsidRDefault="0029306E">
            <w:pPr>
              <w:rPr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40</w:t>
            </w:r>
          </w:p>
        </w:tc>
        <w:tc>
          <w:tcPr>
            <w:tcW w:w="3495" w:type="dxa"/>
            <w:gridSpan w:val="2"/>
          </w:tcPr>
          <w:p w14:paraId="726E0E9B" w14:textId="77777777" w:rsidR="006F3CB0" w:rsidRDefault="008053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Усмени испит</w:t>
            </w:r>
          </w:p>
        </w:tc>
        <w:tc>
          <w:tcPr>
            <w:tcW w:w="1012" w:type="dxa"/>
          </w:tcPr>
          <w:p w14:paraId="03334AF8" w14:textId="4C15B19A" w:rsidR="006F3CB0" w:rsidRDefault="006F3CB0">
            <w:pPr>
              <w:rPr>
                <w:sz w:val="22"/>
                <w:szCs w:val="22"/>
              </w:rPr>
            </w:pPr>
          </w:p>
        </w:tc>
      </w:tr>
    </w:tbl>
    <w:p w14:paraId="7BF4BEB1" w14:textId="77777777" w:rsidR="006F3CB0" w:rsidRDefault="006F3CB0">
      <w:pPr>
        <w:rPr>
          <w:sz w:val="22"/>
          <w:szCs w:val="22"/>
        </w:rPr>
      </w:pPr>
    </w:p>
    <w:p w14:paraId="7744780B" w14:textId="77777777" w:rsidR="006F3CB0" w:rsidRDefault="006F3CB0"/>
    <w:sectPr w:rsidR="006F3CB0">
      <w:headerReference w:type="default" r:id="rId6"/>
      <w:footerReference w:type="default" r:id="rId7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6928A" w14:textId="77777777" w:rsidR="00621BA3" w:rsidRDefault="00621BA3">
      <w:r>
        <w:separator/>
      </w:r>
    </w:p>
  </w:endnote>
  <w:endnote w:type="continuationSeparator" w:id="0">
    <w:p w14:paraId="381F8564" w14:textId="77777777" w:rsidR="00621BA3" w:rsidRDefault="0062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BDA11" w14:textId="77777777" w:rsidR="006F3CB0" w:rsidRDefault="00621BA3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hyperlink r:id="rId1">
      <w:r w:rsidR="0080537E">
        <w:rPr>
          <w:color w:val="0000FF"/>
          <w:u w:val="single"/>
        </w:rPr>
        <w:t>www.filfak.ni.ac.rs</w:t>
      </w:r>
    </w:hyperlink>
  </w:p>
  <w:p w14:paraId="19599BD7" w14:textId="77777777" w:rsidR="006F3CB0" w:rsidRDefault="006F3CB0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6E3B7" w14:textId="77777777" w:rsidR="00621BA3" w:rsidRDefault="00621BA3">
      <w:r>
        <w:separator/>
      </w:r>
    </w:p>
  </w:footnote>
  <w:footnote w:type="continuationSeparator" w:id="0">
    <w:p w14:paraId="2F4678E1" w14:textId="77777777" w:rsidR="00621BA3" w:rsidRDefault="00621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1434E" w14:textId="77777777" w:rsidR="006F3CB0" w:rsidRDefault="0080537E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33"/>
      <w:gridCol w:w="1610"/>
    </w:tblGrid>
    <w:tr w:rsidR="006F3CB0" w14:paraId="76866DC8" w14:textId="77777777">
      <w:trPr>
        <w:trHeight w:val="360"/>
        <w:jc w:val="center"/>
      </w:trPr>
      <w:tc>
        <w:tcPr>
          <w:tcW w:w="1515" w:type="dxa"/>
          <w:vMerge w:val="restart"/>
          <w:shd w:val="clear" w:color="auto" w:fill="auto"/>
        </w:tcPr>
        <w:p w14:paraId="1B1000B9" w14:textId="77777777" w:rsidR="006F3CB0" w:rsidRDefault="0080537E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77304E04" wp14:editId="132DEDC9">
                <wp:simplePos x="0" y="0"/>
                <wp:positionH relativeFrom="column">
                  <wp:posOffset>-8253</wp:posOffset>
                </wp:positionH>
                <wp:positionV relativeFrom="paragraph">
                  <wp:posOffset>38735</wp:posOffset>
                </wp:positionV>
                <wp:extent cx="805815" cy="789940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4FF87693" w14:textId="77777777" w:rsidR="006F3CB0" w:rsidRDefault="0080537E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09E9B62E" w14:textId="77777777" w:rsidR="006F3CB0" w:rsidRDefault="0080537E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10" w:type="dxa"/>
          <w:vMerge w:val="restart"/>
        </w:tcPr>
        <w:p w14:paraId="65FEAED7" w14:textId="77777777" w:rsidR="006F3CB0" w:rsidRDefault="0080537E">
          <w:pPr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6407F516" wp14:editId="20522842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0" b="0"/>
                <wp:wrapNone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6F3CB0" w14:paraId="13B6ACA8" w14:textId="77777777">
      <w:trPr>
        <w:trHeight w:val="460"/>
        <w:jc w:val="center"/>
      </w:trPr>
      <w:tc>
        <w:tcPr>
          <w:tcW w:w="1515" w:type="dxa"/>
          <w:vMerge/>
          <w:shd w:val="clear" w:color="auto" w:fill="auto"/>
        </w:tcPr>
        <w:p w14:paraId="1E2E7F47" w14:textId="77777777" w:rsidR="006F3CB0" w:rsidRDefault="006F3CB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533" w:type="dxa"/>
          <w:shd w:val="clear" w:color="auto" w:fill="E6E6E6"/>
          <w:vAlign w:val="center"/>
        </w:tcPr>
        <w:p w14:paraId="78D596BD" w14:textId="77777777" w:rsidR="006F3CB0" w:rsidRDefault="0080537E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14:paraId="3504C998" w14:textId="77777777" w:rsidR="006F3CB0" w:rsidRDefault="006F3CB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6F3CB0" w14:paraId="4FBFB4A8" w14:textId="77777777">
      <w:trPr>
        <w:trHeight w:val="520"/>
        <w:jc w:val="center"/>
      </w:trPr>
      <w:tc>
        <w:tcPr>
          <w:tcW w:w="1515" w:type="dxa"/>
          <w:vMerge/>
          <w:shd w:val="clear" w:color="auto" w:fill="auto"/>
        </w:tcPr>
        <w:p w14:paraId="620A53BD" w14:textId="77777777" w:rsidR="006F3CB0" w:rsidRDefault="006F3CB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33" w:type="dxa"/>
          <w:shd w:val="clear" w:color="auto" w:fill="FFFFFF"/>
          <w:vAlign w:val="center"/>
        </w:tcPr>
        <w:p w14:paraId="413B6808" w14:textId="77777777" w:rsidR="006F3CB0" w:rsidRDefault="0080537E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1F12C3BD" w14:textId="77777777" w:rsidR="006F3CB0" w:rsidRDefault="0080537E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2DEBF26B" w14:textId="77777777" w:rsidR="006F3CB0" w:rsidRDefault="006F3CB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08827D4E" w14:textId="77777777" w:rsidR="006F3CB0" w:rsidRDefault="0080537E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CB0"/>
    <w:rsid w:val="0029306E"/>
    <w:rsid w:val="00326865"/>
    <w:rsid w:val="00621BA3"/>
    <w:rsid w:val="006F3CB0"/>
    <w:rsid w:val="0080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52709"/>
  <w15:docId w15:val="{7D01162A-BB36-4D77-97F5-B483D3346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326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2024-09-12T10:04:00Z</dcterms:created>
  <dcterms:modified xsi:type="dcterms:W3CDTF">2024-09-12T10:13:00Z</dcterms:modified>
</cp:coreProperties>
</file>